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rtl w:val="0"/>
        </w:rPr>
        <w:t xml:space="preserve">Logística y nearshoring: el nuevo rol de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 norte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rtl w:val="0"/>
        </w:rPr>
        <w:t xml:space="preserve"> en la transformación del transporte en México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junio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 de 2025. ––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Monterrey se ha consolidado como un eje clave en el fenómeno del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nearshoring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una estrategia que está redefiniendo el comercio internacional en América del Norte. La capital industrial de Nuevo León </w:t>
      </w:r>
      <w:hyperlink r:id="rId7">
        <w:r w:rsidDel="00000000" w:rsidR="00000000" w:rsidRPr="00000000">
          <w:rPr>
            <w:rFonts w:ascii="Arial" w:cs="Arial" w:eastAsia="Arial" w:hAnsi="Arial"/>
            <w:color w:val="467886"/>
            <w:sz w:val="24"/>
            <w:szCs w:val="24"/>
            <w:u w:val="single"/>
            <w:rtl w:val="0"/>
          </w:rPr>
          <w:t xml:space="preserve">concentra cerca del 28 % de la absorción industrial nacional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atribuida a este fenómeno, lo que representa más de 476 mil metros cuadrados de nuevos espacios industriales ocupados en solo un año.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Según María de los Ángeles Useche Serrano, directora comercial de Total Protect —compañía especializada en soluciones que brindan tranquilidad, confianza y ahorro para flotas de transporte—, Monterrey vive un auge logístico sin precedentes.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“Su ubicación estratégica, conectividad con la frontera y robusta infraestructura industrial la convierten en una plataforma ideal para las operaciones de transporte nacional e internacional”,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destaca.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nivel nacional, el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nearshoring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 acelerado la evolución del sector logístico. Las empresas están apostando por la automatización y digitalización de procesos mediante sensores de ruta, monitoreo en tiempo real y plataformas inteligentes de distribución. Además, se observa un viraje hacia la logística hiperlocal, con centros de distribución más cercanos al consumidor final, lo que permite optimizar tiempos y reducir costos. La sostenibilidad también gana terreno con la incorporación de vehículos eléctricos y prácticas más responsables, mientras que la infraestructura multimodal —que integra transporte terrestre, ferroviario y marítimo— cobra cada vez más relevancia.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rtl w:val="0"/>
        </w:rPr>
        <w:t xml:space="preserve">el norte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estas tendencias no solo se reflejan, sino que se intensifican. Inversiones millonarias por parte de empresas globales han reforzado su papel como epicentro industrial y logístico del norte del país. Este dinamismo también ha detonado una creciente demanda de soluciones para proteger activos móviles y optimizar la operación en carretera.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“Las compañías que transportan bienes desde Monterrey hacia el resto de México o hacia Estados Unidos están buscando tecnologías avanzadas que les permitan asegurar sus vehículos, su carga y toda su operación logística”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asegura Useche.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respuesta a este entorno, Total Protect ya contempla una expansión de su tecnología de seguridad vehicular hacia el norte del país. Aunque aún en fase de planificación, la estrategia apunta a ofrecer soluciones inteligentes en un entorno que, si bien está en pleno crecimiento, también enfrenta nuevos retos operativos.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El norte del país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solo es testigo del auge del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nearshoring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es protagonista de una transformación que conecta movilidad, industria y tecnología. Su papel como hub logístico la posiciona en el radar de empresas, inversionistas y proveedores de soluciones que entienden que el futuro del transporte ya se está gestando… y pasa por esta ciudad.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6"/>
          <w:szCs w:val="16"/>
          <w:u w:val="none"/>
          <w:rtl w:val="0"/>
        </w:rPr>
        <w:t xml:space="preserve">Sobre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Total Protect.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Total Protect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Protect ha atendido más de 20 mil eventos de riesgo, contribuyendo a la seguridad en las principales carreteras de México. Para más información, visita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https://totalprotect.mx/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6"/>
          <w:szCs w:val="16"/>
          <w:u w:val="none"/>
          <w:rtl w:val="0"/>
        </w:rPr>
        <w:t xml:space="preserve">Síguenos 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LinkedIn: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https://www.linkedin.com/company/totalprotect1/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Facebook: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https://www.facebook.com/people/Total-Protect/100091312624811/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Instagram: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https://www.instagram.com/totalprotect_/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16"/>
          <w:szCs w:val="16"/>
          <w:u w:val="none"/>
          <w:rtl w:val="0"/>
        </w:rPr>
        <w:t xml:space="preserve">Contacto de prensa: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Michelle De la Torre, Sr. PR Expert – another</w:t>
      </w:r>
      <w:r w:rsidDel="00000000" w:rsidR="00000000" w:rsidRPr="00000000">
        <w:rPr>
          <w:rtl w:val="0"/>
        </w:rPr>
        <w:br w:type="textWrapping"/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michelle.delatorre@another.co</w:t>
        </w:r>
      </w:hyperlink>
      <w:hyperlink r:id="rId14">
        <w:r w:rsidDel="00000000" w:rsidR="00000000" w:rsidRPr="00000000">
          <w:rPr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55 4315 4847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Rodrigo Franco, Sr. PR Expert –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/>
      </w:pP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467886"/>
            <w:sz w:val="16"/>
            <w:szCs w:val="16"/>
            <w:u w:val="none"/>
            <w:rtl w:val="0"/>
          </w:rPr>
          <w:t xml:space="preserve">rodrigo.franco@another.co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16"/>
          <w:szCs w:val="16"/>
          <w:u w:val="none"/>
          <w:rtl w:val="0"/>
        </w:rPr>
        <w:t xml:space="preserve">55 7051 7579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B">
          <w:pPr>
            <w:ind w:left="-115" w:firstLine="0"/>
            <w:jc w:val="left"/>
            <w:rPr/>
          </w:pPr>
          <w:r w:rsidDel="00000000" w:rsidR="00000000" w:rsidRPr="00000000">
            <w:rPr/>
            <w:drawing>
              <wp:inline distB="0" distT="0" distL="114300" distR="114300">
                <wp:extent cx="1685925" cy="476250"/>
                <wp:effectExtent b="0" l="0" r="0" t="0"/>
                <wp:docPr descr="Imagen" id="1922668201" name="image1.png"/>
                <a:graphic>
                  <a:graphicData uri="http://schemas.openxmlformats.org/drawingml/2006/picture">
                    <pic:pic>
                      <pic:nvPicPr>
                        <pic:cNvPr descr="Imagen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uiPriority w:val="99"/>
    <w:unhideWhenUsed w:val="1"/>
    <w:rsid w:val="28F5779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28F5779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28F57794"/>
    <w:pPr>
      <w:spacing/>
      <w:ind w:left="720"/>
      <w:contextualSpacing w:val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65675FC8"/>
    <w:rPr>
      <w:color w:val="46788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people/Total-Protect/100091312624811/" TargetMode="External"/><Relationship Id="rId10" Type="http://schemas.openxmlformats.org/officeDocument/2006/relationships/hyperlink" Target="https://www.linkedin.com/company/totalprotect1/" TargetMode="External"/><Relationship Id="rId13" Type="http://schemas.openxmlformats.org/officeDocument/2006/relationships/hyperlink" Target="mailto:michelle.delatorre@another.co" TargetMode="External"/><Relationship Id="rId12" Type="http://schemas.openxmlformats.org/officeDocument/2006/relationships/hyperlink" Target="https://www.instagram.com/totalprotect_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otalprotect.mx/" TargetMode="External"/><Relationship Id="rId15" Type="http://schemas.openxmlformats.org/officeDocument/2006/relationships/hyperlink" Target="mailto:rodrigo.franco@another.co" TargetMode="External"/><Relationship Id="rId14" Type="http://schemas.openxmlformats.org/officeDocument/2006/relationships/hyperlink" Target="mailto:michelle.delatorre@another.co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bre.com.mx/press-releases/reporte-nearshoring-3t-2024?utm_source=chatgpt.com" TargetMode="External"/><Relationship Id="rId8" Type="http://schemas.openxmlformats.org/officeDocument/2006/relationships/hyperlink" Target="https://totalprotect.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4qUjxYJW2FjhtFuo7iP3o9/pg==">CgMxLjA4AHIhMVNDNld6N3FvSHo4RkMzbFMyYnNQNWkwSjZnblo5RXFO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2025-05-13T21:55:43.0000000Z</dcterms:created>
  <dc:creator>Gustavo Pineda Negrete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